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05345" w14:textId="77777777" w:rsidR="00F21699" w:rsidRDefault="003A0A58" w:rsidP="00EF407B">
      <w:pPr>
        <w:spacing w:after="0"/>
        <w:jc w:val="right"/>
        <w:rPr>
          <w:rFonts w:ascii="Times New Roman" w:hAnsi="Times New Roman" w:cs="Times New Roman"/>
          <w:sz w:val="24"/>
          <w:szCs w:val="24"/>
          <w:lang w:val="bg-BG"/>
        </w:rPr>
      </w:pPr>
      <w:r>
        <w:rPr>
          <w:rFonts w:ascii="Times New Roman" w:hAnsi="Times New Roman" w:cs="Times New Roman"/>
          <w:sz w:val="24"/>
          <w:szCs w:val="24"/>
          <w:lang w:val="bg-BG"/>
        </w:rPr>
        <w:t>Приложение № 6</w:t>
      </w:r>
    </w:p>
    <w:p w14:paraId="79A759C7" w14:textId="77777777" w:rsidR="008A010C" w:rsidRDefault="00F21699" w:rsidP="00F21699">
      <w:pPr>
        <w:jc w:val="right"/>
        <w:rPr>
          <w:rFonts w:ascii="Times New Roman" w:hAnsi="Times New Roman" w:cs="Times New Roman"/>
          <w:sz w:val="24"/>
          <w:szCs w:val="24"/>
          <w:lang w:val="bg-BG"/>
        </w:rPr>
      </w:pPr>
      <w:r>
        <w:rPr>
          <w:rFonts w:ascii="Times New Roman" w:hAnsi="Times New Roman" w:cs="Times New Roman"/>
          <w:sz w:val="24"/>
          <w:szCs w:val="24"/>
          <w:lang w:val="bg-BG"/>
        </w:rPr>
        <w:t>към Условията за кандидатстване</w:t>
      </w:r>
    </w:p>
    <w:p w14:paraId="242C0DB9" w14:textId="77777777" w:rsidR="00EF407B" w:rsidRDefault="00EF407B" w:rsidP="008A010C">
      <w:pPr>
        <w:jc w:val="center"/>
        <w:rPr>
          <w:rFonts w:ascii="Times New Roman" w:hAnsi="Times New Roman" w:cs="Times New Roman"/>
          <w:b/>
          <w:sz w:val="24"/>
          <w:szCs w:val="24"/>
          <w:lang w:val="bg-BG"/>
        </w:rPr>
      </w:pPr>
    </w:p>
    <w:p w14:paraId="4917315F" w14:textId="77777777" w:rsidR="007761F5" w:rsidRDefault="008A010C" w:rsidP="008A010C">
      <w:pPr>
        <w:jc w:val="center"/>
        <w:rPr>
          <w:rFonts w:ascii="Times New Roman" w:hAnsi="Times New Roman" w:cs="Times New Roman"/>
          <w:b/>
          <w:sz w:val="24"/>
          <w:szCs w:val="24"/>
          <w:lang w:val="bg-BG"/>
        </w:rPr>
      </w:pPr>
      <w:r w:rsidRPr="008A010C">
        <w:rPr>
          <w:rFonts w:ascii="Times New Roman" w:hAnsi="Times New Roman" w:cs="Times New Roman"/>
          <w:b/>
          <w:sz w:val="24"/>
          <w:szCs w:val="24"/>
          <w:lang w:val="bg-BG"/>
        </w:rPr>
        <w:t>Използвани основни дефиниции</w:t>
      </w:r>
    </w:p>
    <w:p w14:paraId="19CDE813" w14:textId="77777777" w:rsidR="00552386" w:rsidRPr="00552386" w:rsidRDefault="00552386" w:rsidP="00552386">
      <w:pPr>
        <w:widowControl w:val="0"/>
        <w:numPr>
          <w:ilvl w:val="0"/>
          <w:numId w:val="1"/>
        </w:numPr>
        <w:autoSpaceDE w:val="0"/>
        <w:autoSpaceDN w:val="0"/>
        <w:adjustRightInd w:val="0"/>
        <w:spacing w:after="0" w:line="360" w:lineRule="auto"/>
        <w:ind w:left="0" w:firstLine="709"/>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„Административен договор“ е изрично волеизявление на изпълнителният директор на РА за предоставяне на безвъзмездна финансова помощ със средства по ПРСР 2014 – 2020 г.,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 договор се оформя в писмено споразумение между изпълнителния директор на РА и бенефициента, заместващо издаването на административен акт.</w:t>
      </w:r>
    </w:p>
    <w:p w14:paraId="0B4CDD39" w14:textId="77777777" w:rsidR="00552386" w:rsidRPr="00552386" w:rsidRDefault="00552386" w:rsidP="00552386">
      <w:pPr>
        <w:widowControl w:val="0"/>
        <w:numPr>
          <w:ilvl w:val="0"/>
          <w:numId w:val="1"/>
        </w:numPr>
        <w:autoSpaceDE w:val="0"/>
        <w:autoSpaceDN w:val="0"/>
        <w:adjustRightInd w:val="0"/>
        <w:spacing w:before="240" w:after="240" w:line="360" w:lineRule="auto"/>
        <w:ind w:left="0" w:firstLine="709"/>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„Големи предприятия“ са предприятия, които не изпълняват критериите на чл. 3 от Закона за малките и средните предприятия.</w:t>
      </w:r>
    </w:p>
    <w:p w14:paraId="1ECF8FA7" w14:textId="77777777" w:rsidR="00552386" w:rsidRPr="00552386" w:rsidRDefault="00363BB2" w:rsidP="00552386">
      <w:pPr>
        <w:widowControl w:val="0"/>
        <w:numPr>
          <w:ilvl w:val="0"/>
          <w:numId w:val="1"/>
        </w:numPr>
        <w:autoSpaceDE w:val="0"/>
        <w:autoSpaceDN w:val="0"/>
        <w:adjustRightInd w:val="0"/>
        <w:spacing w:before="240" w:after="24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 </w:t>
      </w:r>
      <w:r w:rsidR="00552386" w:rsidRPr="00552386">
        <w:rPr>
          <w:rFonts w:ascii="Times New Roman" w:eastAsia="Calibri" w:hAnsi="Times New Roman" w:cs="Times New Roman"/>
          <w:sz w:val="24"/>
          <w:szCs w:val="24"/>
          <w:shd w:val="clear" w:color="auto" w:fill="FEFEFE"/>
          <w:lang w:val="bg-BG"/>
        </w:rPr>
        <w:t>„Дейност“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бенефициенти, предвид постигането на поставените цели в ПРСР.</w:t>
      </w:r>
    </w:p>
    <w:p w14:paraId="1BC6B923"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„Изкуствено създадени условия“ е всяко установено условие по смисъла на чл. 60 от Регламент (ЕС) № 1306/2013.</w:t>
      </w:r>
    </w:p>
    <w:p w14:paraId="31B9216C" w14:textId="77777777" w:rsidR="00552386" w:rsidRPr="00552386" w:rsidRDefault="00552386" w:rsidP="00552386">
      <w:pPr>
        <w:widowControl w:val="0"/>
        <w:numPr>
          <w:ilvl w:val="0"/>
          <w:numId w:val="1"/>
        </w:numPr>
        <w:autoSpaceDE w:val="0"/>
        <w:autoSpaceDN w:val="0"/>
        <w:adjustRightInd w:val="0"/>
        <w:spacing w:before="240" w:after="24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„Икономическа жизнеспособност“ е генерирането на доходи от дейността, гарантиращи устойчивост на </w:t>
      </w:r>
      <w:r w:rsidR="001657A7">
        <w:rPr>
          <w:rFonts w:ascii="Times New Roman" w:eastAsia="Calibri" w:hAnsi="Times New Roman" w:cs="Times New Roman"/>
          <w:sz w:val="24"/>
          <w:szCs w:val="24"/>
          <w:shd w:val="clear" w:color="auto" w:fill="FEFEFE"/>
          <w:lang w:val="bg-BG"/>
        </w:rPr>
        <w:t>стопанството/предприятието</w:t>
      </w:r>
      <w:r w:rsidRPr="00552386">
        <w:rPr>
          <w:rFonts w:ascii="Times New Roman" w:eastAsia="Calibri" w:hAnsi="Times New Roman" w:cs="Times New Roman"/>
          <w:sz w:val="24"/>
          <w:szCs w:val="24"/>
          <w:shd w:val="clear" w:color="auto" w:fill="FEFEFE"/>
          <w:lang w:val="bg-BG"/>
        </w:rPr>
        <w:t xml:space="preserve"> за периода на бизнес плана.</w:t>
      </w:r>
    </w:p>
    <w:p w14:paraId="2643FE6F" w14:textId="77777777" w:rsidR="00552386" w:rsidRPr="00552386" w:rsidRDefault="00552386" w:rsidP="00552386">
      <w:pPr>
        <w:widowControl w:val="0"/>
        <w:numPr>
          <w:ilvl w:val="0"/>
          <w:numId w:val="1"/>
        </w:numPr>
        <w:autoSpaceDE w:val="0"/>
        <w:autoSpaceDN w:val="0"/>
        <w:adjustRightInd w:val="0"/>
        <w:spacing w:before="240" w:after="24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„Инвестиционен проект” е проект по смисъла на Закона за устройство на територията и Наредба № 4 за обхвата и съдържанието на инвестиционните проекти, предназначен за строителството на обекта/</w:t>
      </w:r>
      <w:proofErr w:type="spellStart"/>
      <w:r w:rsidRPr="00552386">
        <w:rPr>
          <w:rFonts w:ascii="Times New Roman" w:eastAsia="Calibri" w:hAnsi="Times New Roman" w:cs="Times New Roman"/>
          <w:sz w:val="24"/>
          <w:szCs w:val="24"/>
          <w:shd w:val="clear" w:color="auto" w:fill="FEFEFE"/>
          <w:lang w:val="bg-BG"/>
        </w:rPr>
        <w:t>ите</w:t>
      </w:r>
      <w:proofErr w:type="spellEnd"/>
      <w:r w:rsidRPr="00552386">
        <w:rPr>
          <w:rFonts w:ascii="Times New Roman" w:eastAsia="Calibri" w:hAnsi="Times New Roman" w:cs="Times New Roman"/>
          <w:sz w:val="24"/>
          <w:szCs w:val="24"/>
          <w:shd w:val="clear" w:color="auto" w:fill="FEFEFE"/>
          <w:lang w:val="bg-BG"/>
        </w:rPr>
        <w:t>, включени в проекта.</w:t>
      </w:r>
    </w:p>
    <w:p w14:paraId="1984A5C5"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„Междинно плащане“ е плащане за обособена част от одобрената и извършена инвестиция.</w:t>
      </w:r>
    </w:p>
    <w:p w14:paraId="10D827F3"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„Места по националната екологична мрежа Натура 2000“ са защитените зони по смисъла на чл. 6, ал. 1 от Закона за биологичното разнообразие.</w:t>
      </w:r>
    </w:p>
    <w:p w14:paraId="4F813D4A" w14:textId="77777777" w:rsidR="00552386" w:rsidRPr="00363BB2"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lang w:val="bg-BG"/>
        </w:rPr>
        <w:t>„Микро, малки и средни предприятия” са предприятия по смисъла на Закона за малките и средните предприятия.</w:t>
      </w:r>
    </w:p>
    <w:p w14:paraId="2C191993" w14:textId="5C56AD0F" w:rsidR="00363BB2" w:rsidRPr="00552386" w:rsidRDefault="00363BB2" w:rsidP="00363BB2">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Pr>
          <w:rFonts w:ascii="Times New Roman" w:eastAsia="Calibri" w:hAnsi="Times New Roman" w:cs="Times New Roman"/>
          <w:sz w:val="24"/>
          <w:szCs w:val="24"/>
          <w:shd w:val="clear" w:color="auto" w:fill="FEFEFE"/>
          <w:lang w:val="bg-BG"/>
        </w:rPr>
        <w:t>„М</w:t>
      </w:r>
      <w:r w:rsidRPr="00552386">
        <w:rPr>
          <w:rFonts w:ascii="Times New Roman" w:eastAsia="Calibri" w:hAnsi="Times New Roman" w:cs="Times New Roman"/>
          <w:sz w:val="24"/>
          <w:szCs w:val="24"/>
          <w:shd w:val="clear" w:color="auto" w:fill="FEFEFE"/>
          <w:lang w:val="bg-BG"/>
        </w:rPr>
        <w:t xml:space="preserve">ярка“ е съвкупност от дейности, спомагащи за прилагане приоритетите </w:t>
      </w:r>
      <w:r w:rsidRPr="00552386">
        <w:rPr>
          <w:rFonts w:ascii="Times New Roman" w:eastAsia="Calibri" w:hAnsi="Times New Roman" w:cs="Times New Roman"/>
          <w:sz w:val="24"/>
          <w:szCs w:val="24"/>
          <w:shd w:val="clear" w:color="auto" w:fill="FEFEFE"/>
          <w:lang w:val="bg-BG"/>
        </w:rPr>
        <w:lastRenderedPageBreak/>
        <w:t xml:space="preserve">на </w:t>
      </w:r>
      <w:r>
        <w:rPr>
          <w:rFonts w:ascii="Times New Roman" w:eastAsia="Calibri" w:hAnsi="Times New Roman" w:cs="Times New Roman"/>
          <w:sz w:val="24"/>
          <w:szCs w:val="24"/>
          <w:shd w:val="clear" w:color="auto" w:fill="FEFEFE"/>
          <w:lang w:val="bg-BG"/>
        </w:rPr>
        <w:t>Стратегията за ВОМР на МИГ</w:t>
      </w:r>
      <w:r w:rsidR="005D518E">
        <w:rPr>
          <w:rFonts w:ascii="Times New Roman" w:eastAsia="Calibri" w:hAnsi="Times New Roman" w:cs="Times New Roman"/>
          <w:sz w:val="24"/>
          <w:szCs w:val="24"/>
          <w:shd w:val="clear" w:color="auto" w:fill="FEFEFE"/>
          <w:lang w:val="bg-BG"/>
        </w:rPr>
        <w:t xml:space="preserve"> Самоков</w:t>
      </w:r>
      <w:r>
        <w:rPr>
          <w:rFonts w:ascii="Times New Roman" w:eastAsia="Calibri" w:hAnsi="Times New Roman" w:cs="Times New Roman"/>
          <w:sz w:val="24"/>
          <w:szCs w:val="24"/>
          <w:shd w:val="clear" w:color="auto" w:fill="FEFEFE"/>
          <w:lang w:val="bg-BG"/>
        </w:rPr>
        <w:t xml:space="preserve"> и съответства на </w:t>
      </w:r>
      <w:proofErr w:type="spellStart"/>
      <w:r>
        <w:rPr>
          <w:rFonts w:ascii="Times New Roman" w:eastAsia="Calibri" w:hAnsi="Times New Roman" w:cs="Times New Roman"/>
          <w:sz w:val="24"/>
          <w:szCs w:val="24"/>
          <w:shd w:val="clear" w:color="auto" w:fill="FEFEFE"/>
          <w:lang w:val="bg-BG"/>
        </w:rPr>
        <w:t>подмярка</w:t>
      </w:r>
      <w:proofErr w:type="spellEnd"/>
      <w:r>
        <w:rPr>
          <w:rFonts w:ascii="Times New Roman" w:eastAsia="Calibri" w:hAnsi="Times New Roman" w:cs="Times New Roman"/>
          <w:sz w:val="24"/>
          <w:szCs w:val="24"/>
          <w:shd w:val="clear" w:color="auto" w:fill="FEFEFE"/>
          <w:lang w:val="bg-BG"/>
        </w:rPr>
        <w:t xml:space="preserve"> от ПРСР 2014-</w:t>
      </w:r>
      <w:r w:rsidRPr="00552386">
        <w:rPr>
          <w:rFonts w:ascii="Times New Roman" w:eastAsia="Calibri" w:hAnsi="Times New Roman" w:cs="Times New Roman"/>
          <w:sz w:val="24"/>
          <w:szCs w:val="24"/>
          <w:shd w:val="clear" w:color="auto" w:fill="FEFEFE"/>
          <w:lang w:val="bg-BG"/>
        </w:rPr>
        <w:t xml:space="preserve">2020 г. </w:t>
      </w:r>
    </w:p>
    <w:p w14:paraId="59F6E023" w14:textId="41DEF7A3"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„Независими оферти“ са оферти, подадени от лица, които не се намират в следната свързаност помежду си или спрямо кандидата:</w:t>
      </w:r>
    </w:p>
    <w:p w14:paraId="6F018058"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а) едното участва в управлението на дружеството на другото;</w:t>
      </w:r>
    </w:p>
    <w:p w14:paraId="27A5A3CF"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б) съдружници;</w:t>
      </w:r>
    </w:p>
    <w:p w14:paraId="188A0F26"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в) съвместно контролират пряко трето лице;</w:t>
      </w:r>
    </w:p>
    <w:p w14:paraId="0373DB35"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г) участват пряко в управлението или капитала на друго лице, поради което между тях могат да се уговарят условия, различни от обичайните;</w:t>
      </w:r>
    </w:p>
    <w:p w14:paraId="0EAD2ECA"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д) едното лице притежава повече от половината от броя на гласовете в общото събрание на другото лице;</w:t>
      </w:r>
    </w:p>
    <w:p w14:paraId="24E8A725"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е) лицата, чиято дейност се контролира пряко или косвено от трето лице - физическо или юридическо;</w:t>
      </w:r>
    </w:p>
    <w:p w14:paraId="0C60ECEB"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ж) лицата, едното от които е търговски представител на другото.</w:t>
      </w:r>
    </w:p>
    <w:p w14:paraId="7D6DA8DE"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„Непреодолима сила и извънредни обстоятелства“ са обстоятелства по смисъла на чл. 2, параграф 2 от Регламент (ЕС) № 1306/2013 г.</w:t>
      </w:r>
    </w:p>
    <w:p w14:paraId="72F44102"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„Нередност“ означава 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1F6EED61" w14:textId="77777777" w:rsidR="005646B4" w:rsidRDefault="005646B4" w:rsidP="00583C61">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646B4">
        <w:rPr>
          <w:rFonts w:ascii="Times New Roman" w:eastAsia="Calibri" w:hAnsi="Times New Roman" w:cs="Times New Roman"/>
          <w:sz w:val="24"/>
          <w:szCs w:val="24"/>
          <w:shd w:val="clear" w:color="auto" w:fill="FEFEFE"/>
          <w:lang w:val="bg-BG"/>
        </w:rPr>
        <w:t>„</w:t>
      </w:r>
      <w:r>
        <w:rPr>
          <w:rFonts w:ascii="Times New Roman" w:eastAsia="Calibri" w:hAnsi="Times New Roman" w:cs="Times New Roman"/>
          <w:sz w:val="24"/>
          <w:szCs w:val="24"/>
          <w:shd w:val="clear" w:color="auto" w:fill="FEFEFE"/>
          <w:lang w:val="bg-BG"/>
        </w:rPr>
        <w:t>О</w:t>
      </w:r>
      <w:r w:rsidRPr="005646B4">
        <w:rPr>
          <w:rFonts w:ascii="Times New Roman" w:eastAsia="Calibri" w:hAnsi="Times New Roman" w:cs="Times New Roman"/>
          <w:sz w:val="24"/>
          <w:szCs w:val="24"/>
          <w:shd w:val="clear" w:color="auto" w:fill="FEFEFE"/>
          <w:lang w:val="bg-BG"/>
        </w:rPr>
        <w:t>бла дървесина“ е вс</w:t>
      </w:r>
      <w:r w:rsidR="009B7703">
        <w:rPr>
          <w:rFonts w:ascii="Times New Roman" w:eastAsia="Calibri" w:hAnsi="Times New Roman" w:cs="Times New Roman"/>
          <w:sz w:val="24"/>
          <w:szCs w:val="24"/>
          <w:shd w:val="clear" w:color="auto" w:fill="FEFEFE"/>
          <w:lang w:val="bg-BG"/>
        </w:rPr>
        <w:t>яка дървесина</w:t>
      </w:r>
      <w:r w:rsidRPr="005646B4">
        <w:rPr>
          <w:rFonts w:ascii="Times New Roman" w:eastAsia="Calibri" w:hAnsi="Times New Roman" w:cs="Times New Roman"/>
          <w:sz w:val="24"/>
          <w:szCs w:val="24"/>
          <w:shd w:val="clear" w:color="auto" w:fill="FEFEFE"/>
          <w:lang w:val="bg-BG"/>
        </w:rPr>
        <w:t>, добит</w:t>
      </w:r>
      <w:r w:rsidR="009B7703">
        <w:rPr>
          <w:rFonts w:ascii="Times New Roman" w:eastAsia="Calibri" w:hAnsi="Times New Roman" w:cs="Times New Roman"/>
          <w:sz w:val="24"/>
          <w:szCs w:val="24"/>
          <w:shd w:val="clear" w:color="auto" w:fill="FEFEFE"/>
          <w:lang w:val="bg-BG"/>
        </w:rPr>
        <w:t>а</w:t>
      </w:r>
      <w:r w:rsidRPr="005646B4">
        <w:rPr>
          <w:rFonts w:ascii="Times New Roman" w:eastAsia="Calibri" w:hAnsi="Times New Roman" w:cs="Times New Roman"/>
          <w:sz w:val="24"/>
          <w:szCs w:val="24"/>
          <w:shd w:val="clear" w:color="auto" w:fill="FEFEFE"/>
          <w:lang w:val="bg-BG"/>
        </w:rPr>
        <w:t xml:space="preserve"> в сечището</w:t>
      </w:r>
      <w:r w:rsidR="009B7703">
        <w:rPr>
          <w:rFonts w:ascii="Times New Roman" w:eastAsia="Calibri" w:hAnsi="Times New Roman" w:cs="Times New Roman"/>
          <w:sz w:val="24"/>
          <w:szCs w:val="24"/>
          <w:shd w:val="clear" w:color="auto" w:fill="FEFEFE"/>
          <w:lang w:val="bg-BG"/>
        </w:rPr>
        <w:t xml:space="preserve"> (по </w:t>
      </w:r>
      <w:r w:rsidR="00363BB2">
        <w:rPr>
          <w:rFonts w:ascii="Times New Roman" w:eastAsia="Calibri" w:hAnsi="Times New Roman" w:cs="Times New Roman"/>
          <w:sz w:val="24"/>
          <w:szCs w:val="24"/>
          <w:shd w:val="clear" w:color="auto" w:fill="FEFEFE"/>
          <w:lang w:val="bg-BG"/>
        </w:rPr>
        <w:t>а</w:t>
      </w:r>
      <w:r w:rsidR="009B7703" w:rsidRPr="005646B4">
        <w:rPr>
          <w:rFonts w:ascii="Times New Roman" w:eastAsia="Calibri" w:hAnsi="Times New Roman" w:cs="Times New Roman"/>
          <w:sz w:val="24"/>
          <w:szCs w:val="24"/>
          <w:shd w:val="clear" w:color="auto" w:fill="FEFEFE"/>
          <w:lang w:val="bg-BG"/>
        </w:rPr>
        <w:t>сортимент</w:t>
      </w:r>
      <w:r w:rsidR="009B7703">
        <w:rPr>
          <w:rFonts w:ascii="Times New Roman" w:eastAsia="Calibri" w:hAnsi="Times New Roman" w:cs="Times New Roman"/>
          <w:sz w:val="24"/>
          <w:szCs w:val="24"/>
          <w:shd w:val="clear" w:color="auto" w:fill="FEFEFE"/>
          <w:lang w:val="bg-BG"/>
        </w:rPr>
        <w:t>и)</w:t>
      </w:r>
      <w:r w:rsidRPr="005646B4">
        <w:rPr>
          <w:rFonts w:ascii="Times New Roman" w:eastAsia="Calibri" w:hAnsi="Times New Roman" w:cs="Times New Roman"/>
          <w:sz w:val="24"/>
          <w:szCs w:val="24"/>
          <w:shd w:val="clear" w:color="auto" w:fill="FEFEFE"/>
          <w:lang w:val="bg-BG"/>
        </w:rPr>
        <w:t>, ко</w:t>
      </w:r>
      <w:r w:rsidR="009B7703">
        <w:rPr>
          <w:rFonts w:ascii="Times New Roman" w:eastAsia="Calibri" w:hAnsi="Times New Roman" w:cs="Times New Roman"/>
          <w:sz w:val="24"/>
          <w:szCs w:val="24"/>
          <w:shd w:val="clear" w:color="auto" w:fill="FEFEFE"/>
          <w:lang w:val="bg-BG"/>
        </w:rPr>
        <w:t>я</w:t>
      </w:r>
      <w:r w:rsidRPr="005646B4">
        <w:rPr>
          <w:rFonts w:ascii="Times New Roman" w:eastAsia="Calibri" w:hAnsi="Times New Roman" w:cs="Times New Roman"/>
          <w:sz w:val="24"/>
          <w:szCs w:val="24"/>
          <w:shd w:val="clear" w:color="auto" w:fill="FEFEFE"/>
          <w:lang w:val="bg-BG"/>
        </w:rPr>
        <w:t>то не е преработван</w:t>
      </w:r>
      <w:r w:rsidR="00363BB2">
        <w:rPr>
          <w:rFonts w:ascii="Times New Roman" w:eastAsia="Calibri" w:hAnsi="Times New Roman" w:cs="Times New Roman"/>
          <w:sz w:val="24"/>
          <w:szCs w:val="24"/>
          <w:shd w:val="clear" w:color="auto" w:fill="FEFEFE"/>
          <w:lang w:val="bg-BG"/>
        </w:rPr>
        <w:t>а</w:t>
      </w:r>
      <w:r w:rsidRPr="005646B4">
        <w:rPr>
          <w:rFonts w:ascii="Times New Roman" w:eastAsia="Calibri" w:hAnsi="Times New Roman" w:cs="Times New Roman"/>
          <w:sz w:val="24"/>
          <w:szCs w:val="24"/>
          <w:shd w:val="clear" w:color="auto" w:fill="FEFEFE"/>
          <w:lang w:val="bg-BG"/>
        </w:rPr>
        <w:t xml:space="preserve"> допълнително.</w:t>
      </w:r>
    </w:p>
    <w:p w14:paraId="7D955B41"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„Обособена част от инвестицията“ е завършен етап на изпълнение на инвестицията, който е обособен и е доведен до самостоятелна степен на завършеност.</w:t>
      </w:r>
    </w:p>
    <w:p w14:paraId="65DAD595"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„Оперативни разходи“ са административните разходи и разходите, свързани с поддръжка и експлоатация на активите.</w:t>
      </w:r>
    </w:p>
    <w:p w14:paraId="17409078" w14:textId="77777777" w:rsidR="00552386" w:rsidRPr="00552386" w:rsidRDefault="00363BB2"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 </w:t>
      </w:r>
      <w:r w:rsidR="00552386" w:rsidRPr="00552386">
        <w:rPr>
          <w:rFonts w:ascii="Times New Roman" w:eastAsia="Calibri" w:hAnsi="Times New Roman" w:cs="Times New Roman"/>
          <w:sz w:val="24"/>
          <w:szCs w:val="24"/>
          <w:shd w:val="clear" w:color="auto" w:fill="FEFEFE"/>
          <w:lang w:val="bg-BG"/>
        </w:rPr>
        <w:t xml:space="preserve">„Принос в натура“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w:t>
      </w:r>
      <w:r w:rsidR="00552386" w:rsidRPr="00552386">
        <w:rPr>
          <w:rFonts w:ascii="Times New Roman" w:eastAsia="Calibri" w:hAnsi="Times New Roman" w:cs="Times New Roman"/>
          <w:sz w:val="24"/>
          <w:szCs w:val="24"/>
          <w:shd w:val="clear" w:color="auto" w:fill="FEFEFE"/>
          <w:lang w:val="bg-BG"/>
        </w:rPr>
        <w:lastRenderedPageBreak/>
        <w:t>платежен документ.</w:t>
      </w:r>
    </w:p>
    <w:p w14:paraId="22F30F2E" w14:textId="77777777" w:rsidR="00552386" w:rsidRPr="00552386" w:rsidRDefault="00363BB2"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 </w:t>
      </w:r>
      <w:r w:rsidR="00552386" w:rsidRPr="00552386">
        <w:rPr>
          <w:rFonts w:ascii="Times New Roman" w:eastAsia="Calibri" w:hAnsi="Times New Roman" w:cs="Times New Roman"/>
          <w:sz w:val="24"/>
          <w:szCs w:val="24"/>
          <w:shd w:val="clear" w:color="auto" w:fill="FEFEFE"/>
          <w:lang w:val="bg-BG"/>
        </w:rPr>
        <w:t>„Проверка на място“ е проверка по смисъла на Регламент (ЕС) № 809/2014.</w:t>
      </w:r>
    </w:p>
    <w:p w14:paraId="619A2B67"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„Проект“</w:t>
      </w:r>
      <w:r w:rsidR="00363BB2">
        <w:rPr>
          <w:rFonts w:ascii="Times New Roman" w:eastAsia="Calibri" w:hAnsi="Times New Roman" w:cs="Times New Roman"/>
          <w:sz w:val="24"/>
          <w:szCs w:val="24"/>
          <w:shd w:val="clear" w:color="auto" w:fill="FEFEFE"/>
          <w:lang w:val="bg-BG"/>
        </w:rPr>
        <w:t xml:space="preserve"> </w:t>
      </w:r>
      <w:r w:rsidR="00363BB2" w:rsidRPr="00552386">
        <w:rPr>
          <w:rFonts w:ascii="Times New Roman" w:eastAsia="Calibri" w:hAnsi="Times New Roman" w:cs="Times New Roman"/>
          <w:sz w:val="24"/>
          <w:szCs w:val="24"/>
          <w:shd w:val="clear" w:color="auto" w:fill="FEFEFE"/>
          <w:lang w:val="bg-BG"/>
        </w:rPr>
        <w:t>„Проект</w:t>
      </w:r>
      <w:r w:rsidR="00363BB2">
        <w:rPr>
          <w:rFonts w:ascii="Times New Roman" w:eastAsia="Calibri" w:hAnsi="Times New Roman" w:cs="Times New Roman"/>
          <w:sz w:val="24"/>
          <w:szCs w:val="24"/>
          <w:shd w:val="clear" w:color="auto" w:fill="FEFEFE"/>
          <w:lang w:val="bg-BG"/>
        </w:rPr>
        <w:t>но предложение</w:t>
      </w:r>
      <w:r w:rsidR="00363BB2" w:rsidRPr="00552386">
        <w:rPr>
          <w:rFonts w:ascii="Times New Roman" w:eastAsia="Calibri" w:hAnsi="Times New Roman" w:cs="Times New Roman"/>
          <w:sz w:val="24"/>
          <w:szCs w:val="24"/>
          <w:shd w:val="clear" w:color="auto" w:fill="FEFEFE"/>
          <w:lang w:val="bg-BG"/>
        </w:rPr>
        <w:t>“</w:t>
      </w:r>
      <w:r w:rsidR="00363BB2">
        <w:rPr>
          <w:rFonts w:ascii="Times New Roman" w:eastAsia="Calibri" w:hAnsi="Times New Roman" w:cs="Times New Roman"/>
          <w:sz w:val="24"/>
          <w:szCs w:val="24"/>
          <w:shd w:val="clear" w:color="auto" w:fill="FEFEFE"/>
          <w:lang w:val="bg-BG"/>
        </w:rPr>
        <w:t xml:space="preserve"> </w:t>
      </w:r>
      <w:r w:rsidR="00363BB2" w:rsidRPr="00552386">
        <w:rPr>
          <w:rFonts w:ascii="Times New Roman" w:eastAsia="Calibri" w:hAnsi="Times New Roman" w:cs="Times New Roman"/>
          <w:sz w:val="24"/>
          <w:szCs w:val="24"/>
          <w:shd w:val="clear" w:color="auto" w:fill="FEFEFE"/>
          <w:lang w:val="bg-BG"/>
        </w:rPr>
        <w:t xml:space="preserve"> </w:t>
      </w:r>
      <w:r w:rsidRPr="00552386">
        <w:rPr>
          <w:rFonts w:ascii="Times New Roman" w:eastAsia="Calibri" w:hAnsi="Times New Roman" w:cs="Times New Roman"/>
          <w:sz w:val="24"/>
          <w:szCs w:val="24"/>
          <w:shd w:val="clear" w:color="auto" w:fill="FEFEFE"/>
          <w:lang w:val="bg-BG"/>
        </w:rPr>
        <w:t xml:space="preserve"> е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72800A7F" w14:textId="77777777" w:rsidR="00552386" w:rsidRDefault="00363BB2"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 </w:t>
      </w:r>
      <w:r w:rsidR="00552386" w:rsidRPr="00552386">
        <w:rPr>
          <w:rFonts w:ascii="Times New Roman" w:eastAsia="Calibri" w:hAnsi="Times New Roman" w:cs="Times New Roman"/>
          <w:sz w:val="24"/>
          <w:szCs w:val="24"/>
          <w:shd w:val="clear" w:color="auto" w:fill="FEFEFE"/>
          <w:lang w:val="bg-BG"/>
        </w:rPr>
        <w:t>„Публична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p w14:paraId="351FA28C" w14:textId="77777777" w:rsidR="009458C8" w:rsidRPr="009458C8" w:rsidRDefault="009458C8" w:rsidP="009458C8">
      <w:pPr>
        <w:pStyle w:val="a3"/>
        <w:widowControl w:val="0"/>
        <w:numPr>
          <w:ilvl w:val="0"/>
          <w:numId w:val="1"/>
        </w:numPr>
        <w:autoSpaceDE w:val="0"/>
        <w:autoSpaceDN w:val="0"/>
        <w:adjustRightInd w:val="0"/>
        <w:spacing w:line="360" w:lineRule="auto"/>
        <w:ind w:left="0" w:firstLine="709"/>
        <w:jc w:val="both"/>
        <w:rPr>
          <w:rFonts w:ascii="Times New Roman" w:hAnsi="Times New Roman" w:cs="Times New Roman"/>
          <w:sz w:val="24"/>
          <w:szCs w:val="24"/>
          <w:lang w:val="bg-BG"/>
        </w:rPr>
      </w:pPr>
      <w:r w:rsidRPr="009458C8">
        <w:rPr>
          <w:rFonts w:ascii="Times New Roman" w:hAnsi="Times New Roman" w:cs="Times New Roman"/>
          <w:sz w:val="24"/>
          <w:szCs w:val="24"/>
          <w:lang w:val="bg-BG"/>
        </w:rPr>
        <w:t xml:space="preserve"> “Работни места” е средносписъчният брой на персонала, изчислен като сбор от данните за среден списъчен брой на заетите лица, посочени в Част I, Раздел 1 от „Отчета за заетите лица, средствата за работна заплата и други разходи за труд“.</w:t>
      </w:r>
    </w:p>
    <w:p w14:paraId="19ABAACE"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„Разходи за консултантски услуги, свързани с подготовка и управление на проекта“ са 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изработка на бизнесплан и подготовка на искането за плащане, включително отчитане и управление на проекта.</w:t>
      </w:r>
    </w:p>
    <w:p w14:paraId="69C4616C"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„Разходи за инвестиции за обикновена подмяна“ са разходи за замяна на активи, които не водят до подобряване на цялостната дейност на кандидата/бенефициента.</w:t>
      </w:r>
    </w:p>
    <w:p w14:paraId="2DDA5C1B"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„Референтни разходи” са цени и пределни стойности, ползвани от </w:t>
      </w:r>
      <w:r w:rsidR="00F21699">
        <w:rPr>
          <w:rFonts w:ascii="Times New Roman" w:eastAsia="Calibri" w:hAnsi="Times New Roman" w:cs="Times New Roman"/>
          <w:sz w:val="24"/>
          <w:szCs w:val="24"/>
          <w:shd w:val="clear" w:color="auto" w:fill="FEFEFE"/>
          <w:lang w:val="bg-BG"/>
        </w:rPr>
        <w:t>ДФЗ-</w:t>
      </w:r>
      <w:r w:rsidRPr="00552386">
        <w:rPr>
          <w:rFonts w:ascii="Times New Roman" w:eastAsia="Calibri" w:hAnsi="Times New Roman" w:cs="Times New Roman"/>
          <w:sz w:val="24"/>
          <w:szCs w:val="24"/>
          <w:shd w:val="clear" w:color="auto" w:fill="FEFEFE"/>
          <w:lang w:val="bg-BG"/>
        </w:rPr>
        <w:t>РА за сравняване при определяне основателността на разходите за различни инвестиции.</w:t>
      </w:r>
    </w:p>
    <w:p w14:paraId="2D0C328E"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„Рефинансиране на лихви“ е възстановяване на извършените разходи за лихви по заеми.</w:t>
      </w:r>
    </w:p>
    <w:p w14:paraId="47FC34A6" w14:textId="77777777" w:rsidR="00552386" w:rsidRPr="00EF407B" w:rsidRDefault="00363BB2"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 </w:t>
      </w:r>
      <w:r w:rsidR="00552386" w:rsidRPr="00552386">
        <w:rPr>
          <w:rFonts w:ascii="Times New Roman" w:eastAsia="Calibri" w:hAnsi="Times New Roman" w:cs="Times New Roman"/>
          <w:sz w:val="24"/>
          <w:szCs w:val="24"/>
          <w:shd w:val="clear" w:color="auto" w:fill="FEFEFE"/>
          <w:lang w:val="bg-BG"/>
        </w:rPr>
        <w:t>„Средногодишно ползване на дървесина</w:t>
      </w:r>
      <w:r w:rsidR="00552386" w:rsidRPr="00EF407B">
        <w:rPr>
          <w:rFonts w:ascii="Times New Roman" w:eastAsia="Calibri" w:hAnsi="Times New Roman" w:cs="Times New Roman"/>
          <w:sz w:val="24"/>
          <w:szCs w:val="24"/>
          <w:shd w:val="clear" w:color="auto" w:fill="FEFEFE"/>
          <w:lang w:val="bg-BG"/>
        </w:rPr>
        <w:t xml:space="preserve">“ </w:t>
      </w:r>
      <w:r w:rsidR="00552386" w:rsidRPr="00EF407B">
        <w:rPr>
          <w:rFonts w:ascii="Times New Roman" w:eastAsia="Calibri" w:hAnsi="Times New Roman" w:cs="Times New Roman"/>
          <w:sz w:val="24"/>
          <w:szCs w:val="24"/>
          <w:lang w:val="bg-BG"/>
        </w:rPr>
        <w:t>е ползването, предвидено в 10 годишния план/програма, разделено на 10.</w:t>
      </w:r>
    </w:p>
    <w:p w14:paraId="317C8D96"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"Създаване на работни места" е увеличение на средния списъчен брой на персонала, деклариран към датата на кандидатстването, изчислен съгласно Методиката за изчисляване на списъчния и средния списъчен брой на персонала, утвърдена от </w:t>
      </w:r>
      <w:r w:rsidRPr="00552386">
        <w:rPr>
          <w:rFonts w:ascii="Times New Roman" w:eastAsia="Calibri" w:hAnsi="Times New Roman" w:cs="Times New Roman"/>
          <w:sz w:val="24"/>
          <w:szCs w:val="24"/>
          <w:shd w:val="clear" w:color="auto" w:fill="FEFEFE"/>
          <w:lang w:val="bg-BG"/>
        </w:rPr>
        <w:lastRenderedPageBreak/>
        <w:t xml:space="preserve">Националния статистически институт за отчетен период от една година спрямо месеца, предхождащ подаването на </w:t>
      </w:r>
      <w:proofErr w:type="spellStart"/>
      <w:r w:rsidRPr="00552386">
        <w:rPr>
          <w:rFonts w:ascii="Times New Roman" w:eastAsia="Calibri" w:hAnsi="Times New Roman" w:cs="Times New Roman"/>
          <w:sz w:val="24"/>
          <w:szCs w:val="24"/>
          <w:shd w:val="clear" w:color="auto" w:fill="FEFEFE"/>
          <w:lang w:val="bg-BG"/>
        </w:rPr>
        <w:t>зaявката</w:t>
      </w:r>
      <w:proofErr w:type="spellEnd"/>
      <w:r w:rsidRPr="00552386">
        <w:rPr>
          <w:rFonts w:ascii="Times New Roman" w:eastAsia="Calibri" w:hAnsi="Times New Roman" w:cs="Times New Roman"/>
          <w:sz w:val="24"/>
          <w:szCs w:val="24"/>
          <w:shd w:val="clear" w:color="auto" w:fill="FEFEFE"/>
          <w:lang w:val="bg-BG"/>
        </w:rPr>
        <w:t xml:space="preserve"> за окончателно плащане.</w:t>
      </w:r>
    </w:p>
    <w:p w14:paraId="12507FB3"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 „Съпоставими оферти“ са оферти, които отговарят на запитването за оферта на кандидата и съдържат:</w:t>
      </w:r>
    </w:p>
    <w:p w14:paraId="353F9F17"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а) еднотипни основни технически характеристики - в случаите, когато се кандидатства за разходи за закупуване на техника за преработка на дървесина или за сеч, извоз, товарене и транспорт на дървесина;</w:t>
      </w:r>
    </w:p>
    <w:p w14:paraId="64C6FD82"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б) общ капацитет на оборудването - в случаите, когато се кандидатства за разходи за закупуване на оборудване; </w:t>
      </w:r>
    </w:p>
    <w:p w14:paraId="40F8615B"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в) количествено-стойностни сметки - в случаите, когато се кандидатства за разходи за извършване на строително-монтажни работи.</w:t>
      </w:r>
    </w:p>
    <w:p w14:paraId="13BBC6F0"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„Частичен отказ за финансиране" е отказът да се финансират част от заявените разходи на кандидата, които са включени в проектното предложение, одобрено за подпомагане по ПРСР 2014 - 2020 г.</w:t>
      </w:r>
    </w:p>
    <w:p w14:paraId="25CBA7BA" w14:textId="77777777" w:rsidR="00552386" w:rsidRPr="00EF407B" w:rsidRDefault="00552386" w:rsidP="00552386">
      <w:pPr>
        <w:ind w:firstLine="709"/>
        <w:jc w:val="center"/>
        <w:rPr>
          <w:b/>
        </w:rPr>
      </w:pPr>
    </w:p>
    <w:sectPr w:rsidR="00552386" w:rsidRPr="00EF407B" w:rsidSect="00B85346">
      <w:footerReference w:type="default" r:id="rId7"/>
      <w:pgSz w:w="12240" w:h="15840"/>
      <w:pgMar w:top="1440" w:right="1440" w:bottom="1440" w:left="1440"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3F343" w14:textId="77777777" w:rsidR="00A44BF9" w:rsidRDefault="00A44BF9" w:rsidP="00B85346">
      <w:pPr>
        <w:spacing w:after="0" w:line="240" w:lineRule="auto"/>
      </w:pPr>
      <w:r>
        <w:separator/>
      </w:r>
    </w:p>
  </w:endnote>
  <w:endnote w:type="continuationSeparator" w:id="0">
    <w:p w14:paraId="0BF479B6" w14:textId="77777777" w:rsidR="00A44BF9" w:rsidRDefault="00A44BF9" w:rsidP="00B85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141236"/>
      <w:docPartObj>
        <w:docPartGallery w:val="Page Numbers (Bottom of Page)"/>
        <w:docPartUnique/>
      </w:docPartObj>
    </w:sdtPr>
    <w:sdtContent>
      <w:sdt>
        <w:sdtPr>
          <w:id w:val="-1769616900"/>
          <w:docPartObj>
            <w:docPartGallery w:val="Page Numbers (Top of Page)"/>
            <w:docPartUnique/>
          </w:docPartObj>
        </w:sdtPr>
        <w:sdtContent>
          <w:p w14:paraId="17F0002B" w14:textId="77777777" w:rsidR="00B85346" w:rsidRDefault="00B85346">
            <w:pPr>
              <w:pStyle w:val="ad"/>
              <w:jc w:val="right"/>
            </w:pPr>
            <w:r w:rsidRPr="00B85346">
              <w:rPr>
                <w:rFonts w:ascii="Times New Roman" w:hAnsi="Times New Roman" w:cs="Times New Roman"/>
                <w:sz w:val="20"/>
                <w:szCs w:val="20"/>
                <w:lang w:val="bg-BG"/>
              </w:rPr>
              <w:t>Стр.</w:t>
            </w:r>
            <w:r w:rsidR="0004455C" w:rsidRPr="00B85346">
              <w:rPr>
                <w:rFonts w:ascii="Times New Roman" w:hAnsi="Times New Roman" w:cs="Times New Roman"/>
                <w:b/>
                <w:bCs/>
                <w:sz w:val="20"/>
                <w:szCs w:val="20"/>
              </w:rPr>
              <w:fldChar w:fldCharType="begin"/>
            </w:r>
            <w:r w:rsidRPr="00B85346">
              <w:rPr>
                <w:rFonts w:ascii="Times New Roman" w:hAnsi="Times New Roman" w:cs="Times New Roman"/>
                <w:b/>
                <w:bCs/>
                <w:sz w:val="20"/>
                <w:szCs w:val="20"/>
              </w:rPr>
              <w:instrText xml:space="preserve"> PAGE </w:instrText>
            </w:r>
            <w:r w:rsidR="0004455C" w:rsidRPr="00B85346">
              <w:rPr>
                <w:rFonts w:ascii="Times New Roman" w:hAnsi="Times New Roman" w:cs="Times New Roman"/>
                <w:b/>
                <w:bCs/>
                <w:sz w:val="20"/>
                <w:szCs w:val="20"/>
              </w:rPr>
              <w:fldChar w:fldCharType="separate"/>
            </w:r>
            <w:r w:rsidR="001D50B4">
              <w:rPr>
                <w:rFonts w:ascii="Times New Roman" w:hAnsi="Times New Roman" w:cs="Times New Roman"/>
                <w:b/>
                <w:bCs/>
                <w:noProof/>
                <w:sz w:val="20"/>
                <w:szCs w:val="20"/>
              </w:rPr>
              <w:t>1</w:t>
            </w:r>
            <w:r w:rsidR="0004455C" w:rsidRPr="00B85346">
              <w:rPr>
                <w:rFonts w:ascii="Times New Roman" w:hAnsi="Times New Roman" w:cs="Times New Roman"/>
                <w:b/>
                <w:bCs/>
                <w:sz w:val="20"/>
                <w:szCs w:val="20"/>
              </w:rPr>
              <w:fldChar w:fldCharType="end"/>
            </w:r>
            <w:r w:rsidRPr="00B85346">
              <w:rPr>
                <w:rFonts w:ascii="Times New Roman" w:hAnsi="Times New Roman" w:cs="Times New Roman"/>
                <w:sz w:val="20"/>
                <w:szCs w:val="20"/>
                <w:lang w:val="bg-BG"/>
              </w:rPr>
              <w:t>от</w:t>
            </w:r>
            <w:r w:rsidR="0004455C" w:rsidRPr="00B85346">
              <w:rPr>
                <w:rFonts w:ascii="Times New Roman" w:hAnsi="Times New Roman" w:cs="Times New Roman"/>
                <w:b/>
                <w:bCs/>
                <w:sz w:val="20"/>
                <w:szCs w:val="20"/>
              </w:rPr>
              <w:fldChar w:fldCharType="begin"/>
            </w:r>
            <w:r w:rsidRPr="00B85346">
              <w:rPr>
                <w:rFonts w:ascii="Times New Roman" w:hAnsi="Times New Roman" w:cs="Times New Roman"/>
                <w:b/>
                <w:bCs/>
                <w:sz w:val="20"/>
                <w:szCs w:val="20"/>
              </w:rPr>
              <w:instrText xml:space="preserve"> NUMPAGES  </w:instrText>
            </w:r>
            <w:r w:rsidR="0004455C" w:rsidRPr="00B85346">
              <w:rPr>
                <w:rFonts w:ascii="Times New Roman" w:hAnsi="Times New Roman" w:cs="Times New Roman"/>
                <w:b/>
                <w:bCs/>
                <w:sz w:val="20"/>
                <w:szCs w:val="20"/>
              </w:rPr>
              <w:fldChar w:fldCharType="separate"/>
            </w:r>
            <w:r w:rsidR="001D50B4">
              <w:rPr>
                <w:rFonts w:ascii="Times New Roman" w:hAnsi="Times New Roman" w:cs="Times New Roman"/>
                <w:b/>
                <w:bCs/>
                <w:noProof/>
                <w:sz w:val="20"/>
                <w:szCs w:val="20"/>
              </w:rPr>
              <w:t>1</w:t>
            </w:r>
            <w:r w:rsidR="0004455C" w:rsidRPr="00B85346">
              <w:rPr>
                <w:rFonts w:ascii="Times New Roman" w:hAnsi="Times New Roman" w:cs="Times New Roman"/>
                <w:b/>
                <w:bCs/>
                <w:sz w:val="20"/>
                <w:szCs w:val="20"/>
              </w:rPr>
              <w:fldChar w:fldCharType="end"/>
            </w:r>
          </w:p>
        </w:sdtContent>
      </w:sdt>
    </w:sdtContent>
  </w:sdt>
  <w:p w14:paraId="6D433D99" w14:textId="77777777" w:rsidR="00B85346" w:rsidRDefault="00B8534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A3AD" w14:textId="77777777" w:rsidR="00A44BF9" w:rsidRDefault="00A44BF9" w:rsidP="00B85346">
      <w:pPr>
        <w:spacing w:after="0" w:line="240" w:lineRule="auto"/>
      </w:pPr>
      <w:r>
        <w:separator/>
      </w:r>
    </w:p>
  </w:footnote>
  <w:footnote w:type="continuationSeparator" w:id="0">
    <w:p w14:paraId="1AC402C2" w14:textId="77777777" w:rsidR="00A44BF9" w:rsidRDefault="00A44BF9" w:rsidP="00B853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FF23E7"/>
    <w:multiLevelType w:val="hybridMultilevel"/>
    <w:tmpl w:val="2A9ADD20"/>
    <w:lvl w:ilvl="0" w:tplc="E9EA790A">
      <w:start w:val="1"/>
      <w:numFmt w:val="decimal"/>
      <w:lvlText w:val="%1."/>
      <w:lvlJc w:val="left"/>
      <w:pPr>
        <w:ind w:left="1976" w:hanging="1125"/>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num w:numId="1" w16cid:durableId="904025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010C"/>
    <w:rsid w:val="00036C52"/>
    <w:rsid w:val="0004455C"/>
    <w:rsid w:val="001657A7"/>
    <w:rsid w:val="001D50B4"/>
    <w:rsid w:val="002D278D"/>
    <w:rsid w:val="00363BB2"/>
    <w:rsid w:val="003A0A58"/>
    <w:rsid w:val="004214AB"/>
    <w:rsid w:val="00490210"/>
    <w:rsid w:val="005279A7"/>
    <w:rsid w:val="00552386"/>
    <w:rsid w:val="005646B4"/>
    <w:rsid w:val="00583C61"/>
    <w:rsid w:val="005D390C"/>
    <w:rsid w:val="005D518E"/>
    <w:rsid w:val="00616CBF"/>
    <w:rsid w:val="006C4FED"/>
    <w:rsid w:val="007761F5"/>
    <w:rsid w:val="008A010C"/>
    <w:rsid w:val="009458C8"/>
    <w:rsid w:val="009B7703"/>
    <w:rsid w:val="009D6340"/>
    <w:rsid w:val="009D66B0"/>
    <w:rsid w:val="00A44BF9"/>
    <w:rsid w:val="00AF4771"/>
    <w:rsid w:val="00B85346"/>
    <w:rsid w:val="00DD7A26"/>
    <w:rsid w:val="00EF407B"/>
    <w:rsid w:val="00F13C40"/>
    <w:rsid w:val="00F21699"/>
    <w:rsid w:val="00F37EBA"/>
    <w:rsid w:val="00F9705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2AA9"/>
  <w15:docId w15:val="{DE9C46F1-E63C-4647-9299-72ADA746F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45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58C8"/>
    <w:pPr>
      <w:ind w:left="720"/>
      <w:contextualSpacing/>
    </w:pPr>
  </w:style>
  <w:style w:type="paragraph" w:styleId="a4">
    <w:name w:val="Balloon Text"/>
    <w:basedOn w:val="a"/>
    <w:link w:val="a5"/>
    <w:uiPriority w:val="99"/>
    <w:semiHidden/>
    <w:unhideWhenUsed/>
    <w:rsid w:val="00F21699"/>
    <w:pPr>
      <w:spacing w:after="0"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F21699"/>
    <w:rPr>
      <w:rFonts w:ascii="Segoe UI" w:hAnsi="Segoe UI" w:cs="Segoe UI"/>
      <w:sz w:val="18"/>
      <w:szCs w:val="18"/>
    </w:rPr>
  </w:style>
  <w:style w:type="character" w:styleId="a6">
    <w:name w:val="annotation reference"/>
    <w:basedOn w:val="a0"/>
    <w:uiPriority w:val="99"/>
    <w:unhideWhenUsed/>
    <w:rsid w:val="001657A7"/>
    <w:rPr>
      <w:sz w:val="16"/>
      <w:szCs w:val="16"/>
    </w:rPr>
  </w:style>
  <w:style w:type="paragraph" w:styleId="a7">
    <w:name w:val="annotation text"/>
    <w:basedOn w:val="a"/>
    <w:link w:val="a8"/>
    <w:uiPriority w:val="99"/>
    <w:semiHidden/>
    <w:unhideWhenUsed/>
    <w:rsid w:val="001657A7"/>
    <w:pPr>
      <w:spacing w:line="240" w:lineRule="auto"/>
    </w:pPr>
    <w:rPr>
      <w:sz w:val="20"/>
      <w:szCs w:val="20"/>
    </w:rPr>
  </w:style>
  <w:style w:type="character" w:customStyle="1" w:styleId="a8">
    <w:name w:val="Текст на коментар Знак"/>
    <w:basedOn w:val="a0"/>
    <w:link w:val="a7"/>
    <w:uiPriority w:val="99"/>
    <w:semiHidden/>
    <w:rsid w:val="001657A7"/>
    <w:rPr>
      <w:sz w:val="20"/>
      <w:szCs w:val="20"/>
    </w:rPr>
  </w:style>
  <w:style w:type="paragraph" w:styleId="a9">
    <w:name w:val="annotation subject"/>
    <w:basedOn w:val="a7"/>
    <w:next w:val="a7"/>
    <w:link w:val="aa"/>
    <w:uiPriority w:val="99"/>
    <w:semiHidden/>
    <w:unhideWhenUsed/>
    <w:rsid w:val="001657A7"/>
    <w:rPr>
      <w:b/>
      <w:bCs/>
    </w:rPr>
  </w:style>
  <w:style w:type="character" w:customStyle="1" w:styleId="aa">
    <w:name w:val="Предмет на коментар Знак"/>
    <w:basedOn w:val="a8"/>
    <w:link w:val="a9"/>
    <w:uiPriority w:val="99"/>
    <w:semiHidden/>
    <w:rsid w:val="001657A7"/>
    <w:rPr>
      <w:b/>
      <w:bCs/>
      <w:sz w:val="20"/>
      <w:szCs w:val="20"/>
    </w:rPr>
  </w:style>
  <w:style w:type="paragraph" w:styleId="ab">
    <w:name w:val="header"/>
    <w:basedOn w:val="a"/>
    <w:link w:val="ac"/>
    <w:uiPriority w:val="99"/>
    <w:unhideWhenUsed/>
    <w:rsid w:val="00B85346"/>
    <w:pPr>
      <w:tabs>
        <w:tab w:val="center" w:pos="4536"/>
        <w:tab w:val="right" w:pos="9072"/>
      </w:tabs>
      <w:spacing w:after="0" w:line="240" w:lineRule="auto"/>
    </w:pPr>
  </w:style>
  <w:style w:type="character" w:customStyle="1" w:styleId="ac">
    <w:name w:val="Горен колонтитул Знак"/>
    <w:basedOn w:val="a0"/>
    <w:link w:val="ab"/>
    <w:uiPriority w:val="99"/>
    <w:rsid w:val="00B85346"/>
  </w:style>
  <w:style w:type="paragraph" w:styleId="ad">
    <w:name w:val="footer"/>
    <w:basedOn w:val="a"/>
    <w:link w:val="ae"/>
    <w:uiPriority w:val="99"/>
    <w:unhideWhenUsed/>
    <w:rsid w:val="00B85346"/>
    <w:pPr>
      <w:tabs>
        <w:tab w:val="center" w:pos="4536"/>
        <w:tab w:val="right" w:pos="9072"/>
      </w:tabs>
      <w:spacing w:after="0" w:line="240" w:lineRule="auto"/>
    </w:pPr>
  </w:style>
  <w:style w:type="character" w:customStyle="1" w:styleId="ae">
    <w:name w:val="Долен колонтитул Знак"/>
    <w:basedOn w:val="a0"/>
    <w:link w:val="ad"/>
    <w:uiPriority w:val="99"/>
    <w:rsid w:val="00B8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Banchev</dc:creator>
  <cp:lastModifiedBy>Еlena</cp:lastModifiedBy>
  <cp:revision>4</cp:revision>
  <cp:lastPrinted>2018-04-25T05:32:00Z</cp:lastPrinted>
  <dcterms:created xsi:type="dcterms:W3CDTF">2018-09-03T16:54:00Z</dcterms:created>
  <dcterms:modified xsi:type="dcterms:W3CDTF">2025-01-24T18:14:00Z</dcterms:modified>
</cp:coreProperties>
</file>